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33 vom 9. November 2004</w:t>
      </w:r>
    </w:p>
    <w:p>
      <w:r>
        <w:t>GR Gerichte, 2004-11-09, DE</w:t>
      </w:r>
    </w:p>
    <w:p>
      <w:r>
        <w:rPr>
          <w:b/>
        </w:rPr>
        <w:t xml:space="preserve">Quelle: </w:t>
      </w:r>
      <w:r>
        <w:t>https://mcp.opencaselaw.ch/entscheid/gr_gerichte_ZF 2004 33</w:t>
      </w:r>
    </w:p>
    <w:p>
      <w:r>
        <w:t>FR: GR_GERICHTE ZF 2004 33 du 9 novembre 2004</w:t>
      </w:r>
    </w:p>
    <w:p>
      <w:r>
        <w:t>IT: GR_GERICHTE ZF 2004 33 del 9 novembre 2004</w:t>
      </w:r>
    </w:p>
    <w:p>
      <w:pPr>
        <w:pStyle w:val="Heading2"/>
      </w:pPr>
      <w:r>
        <w:t>Regeste</w:t>
      </w:r>
    </w:p>
    <w:p>
      <w:r>
        <w:t>Forderung (negative Feststellungsklage) | OR Auftrag/Gesch\x27führung o. Auftrag/Bürgschaft etc. (OR 394-529)</w:t>
      </w:r>
    </w:p>
    <w:p>
      <w:pPr>
        <w:pStyle w:val="Heading2"/>
      </w:pPr>
      <w:r>
        <w:t>Erwägungen</w:t>
      </w:r>
    </w:p>
    <w:p>
      <w:r>
        <w:rPr>
          <w:b/>
        </w:rPr>
        <w:t>E. 2</w:t>
      </w:r>
    </w:p>
    <w:p>
      <w:r>
        <w:t>Der Beklagte liess in seiner Prozessantwort vom 16. Dezember 2002 die kostenfällige Abweisung der Klage beantragen. Der Beklagte stellt sich in seiner Rechtsschrift auf den Standpunkt, er habe mit der Firma von T. K., der Klägerin, einen Vertrag betreffend die Gestaltung und Betreibung seiner Internet-Seite abgeschlossen. Dabei hätten sich die Gebrüder K.</w:t>
      </w:r>
    </w:p>
    <w:p>
      <w:r>
        <w:rPr>
          <w:b/>
        </w:rPr>
        <w:t>E. 3</w:t>
      </w:r>
    </w:p>
    <w:p>
      <w:r>
        <w:t>In der Replik vom 22. Januar 2003 ergänzte die Klägerin ihre Rechts- begehren dahingehend, dass zusätzlich beantragt wurde, das Betreibungsamt Mai- enfeld anzuweisen, die gegen die Kollektivgesellschaft A. unter der Betreibungs- nummer 2020619 eingereichte Betreibung zu löschen. Die Klägerin begründete ih- ren Löschungsantrag. Sie blieb bei ihrem Standpunkt der Gefälligkeitsleistung ohne Bindungswillen. Selbst wenn ein verbindlicher Vertrag vorgelegen habe, was be- stritten werde, habe der Auftragnehmer den Auftrag jederzeit niederlegen dürfen. Dass der Beklagte dadurch gehalten gewesen sei, die bisher unentgeltlich erhalte- nen Dienstleistung bei anderen Anbietenden zu holen und zu bezahlen, sei Folge der Vertragsauflösung und der Klägerin nicht zuzuordnen.</w:t>
      </w:r>
    </w:p>
    <w:p>
      <w:r>
        <w:rPr>
          <w:b/>
        </w:rPr>
        <w:t>E. 4</w:t>
      </w:r>
    </w:p>
    <w:p>
      <w:r>
        <w:t>gerin mehrere Interessenten vermittelt. Die Klägerin habe den Vertrag nicht gekün- digt, sondern gebrochen. Durch das widerrechtliche Vorgehen sei der Beklagte be- rechtigt gewesen, die durch die Klägerin widerrechtlich nicht erbrachten Dienstleis- tungen bei Dritten zu holen, welche der Klägerin voll anzurechnen sei. C. Mit Urteil vom 17. Dezember 2003, mitgeteilt am 12. März 2004, ent- schied das Bezirksgericht Landquart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